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USE OF OTHER AUTHORS’ IDEAS (IN-TEXT REFERENCES)</w:t>
      </w:r>
    </w:p>
    <w:p>
      <w:r>
        <w:t>Under the Regulations on Undergraduate Theses and the Regulations on Master’s Theses of the Faculty of Economics and Business, University of Rijeka, students preparing undergraduate and master’s theses are required to use the Harvard system (Harvard style) for citations and reference lists. The document entitled Harvard Style is an integral part of these regulations and is available on the Faculty’s website: https://www.efri.uniri.hr/sites/efri.uniri.hr/files/cr-collections/2/harvard_citation_style.pdf. As that document is written in English, these rules are intended to help students use the citation system. The examples follow the referenced document.</w:t>
      </w:r>
    </w:p>
    <w:p>
      <w:r>
        <w:t>In Harvard-style in-text references, give only the author’s surname, the year of publication and the page(s) from which the data, information, definition, division or classification was taken. Citations are usually placed at the end of the sentence, before the full stop, or next to a key term in the cited text.</w:t>
      </w:r>
    </w:p>
    <w:p>
      <w:pPr>
        <w:pStyle w:val="Heading2"/>
      </w:pPr>
      <w:r>
        <w:t>Examples</w:t>
      </w:r>
    </w:p>
    <w:p>
      <w:r>
        <w:t>Reference at the end of the sentence (one author of a book, article or study):</w:t>
      </w:r>
    </w:p>
    <w:p>
      <w:pPr>
        <w:spacing w:after="60"/>
        <w:ind w:left="312"/>
      </w:pPr>
      <w:r>
        <w:t>A market consists of all potential buyers who share a particular need or want and who might be willing and able to engage in exchange to satisfy that need or want (Kotler 1994, p. 10).</w:t>
      </w:r>
    </w:p>
    <w:p>
      <w:r>
        <w:t>Reference at the end of the sentence (two or three authors):</w:t>
      </w:r>
    </w:p>
    <w:p>
      <w:pPr>
        <w:spacing w:after="60"/>
        <w:ind w:left="312"/>
      </w:pPr>
      <w:r>
        <w:t>Two tendencies dominate the market mechanism: specialization of production and diversification of consumption (Senečić and Vukonić 1997, p. 23).</w:t>
      </w:r>
    </w:p>
    <w:p>
      <w:pPr>
        <w:spacing w:after="60"/>
        <w:ind w:left="312"/>
      </w:pPr>
      <w:r>
        <w:t>Other factors that are no less significant for a rational sales policy include (Segetlija and Lamza Maronić 2000, p. 38): 1) the number of consumers, 2) the geographical distribution of consumers, etc.</w:t>
      </w:r>
    </w:p>
    <w:p>
      <w:pPr>
        <w:pageBreakBefore/>
      </w:pPr>
      <w:r>
        <w:t>Reference at the end of the sentence (more than three authors: give only the first author followed by “et al.”):</w:t>
      </w:r>
    </w:p>
    <w:p>
      <w:pPr>
        <w:spacing w:after="60"/>
        <w:ind w:left="312"/>
      </w:pPr>
      <w:r>
        <w:t>Logistics includes all activities used to plan, manage, implement and control the transformation of goods across space and time, as well as changes in their quantities, types and characteristics, their handling and their logistical allocation (Zelenika et al. 1998, p. 65).</w:t>
      </w:r>
    </w:p>
    <w:p>
      <w:r>
        <w:t>When citing legislation, give the name of the legal act, its year of publication and the article cited. If referring to the act as a whole, give its official publication number instead of an article number:</w:t>
      </w:r>
    </w:p>
    <w:p>
      <w:pPr>
        <w:spacing w:after="60"/>
        <w:ind w:left="312"/>
      </w:pPr>
      <w:r>
        <w:t>A pharmacy must keep appropriate quantities and types of medicines, medical products and raw materials for preparing medicines in stock to ensure a continuous supply, taking into account the needs of the population and physicians’ usual prescribing practices in the area where the pharmacy is located (Regulations on the Trade in Medicines and Medical Products 1998, Art. 85).</w:t>
      </w:r>
    </w:p>
    <w:p>
      <w:r>
        <w:t>Alternatively, when the author’s surname is already in the sentence, give the year and page beside the surname:</w:t>
      </w:r>
    </w:p>
    <w:p>
      <w:pPr>
        <w:spacing w:after="60"/>
        <w:ind w:left="312"/>
      </w:pPr>
      <w:r>
        <w:t>According to Kotler (1994, p. 10), a market consists of all potential buyers who share a particular need or want and who might be willing and able to engage in exchange to satisfy it.</w:t>
      </w:r>
    </w:p>
    <w:p>
      <w:pPr>
        <w:spacing w:after="60"/>
        <w:ind w:left="312"/>
      </w:pPr>
      <w:r>
        <w:t>F. Rocco (1991, p. 67) divides the factors influencing the choice of sales channel or channels into primary and specific factors.</w:t>
      </w:r>
    </w:p>
    <w:p>
      <w:pPr>
        <w:spacing w:after="60"/>
        <w:ind w:left="312"/>
      </w:pPr>
      <w:r>
        <w:t>Moir and Jessel (1991, pp. 93-4) have shown that it is futile to maintain that the sexes are interchangeable.</w:t>
      </w:r>
    </w:p>
    <w:p>
      <w:r>
        <w:t>If several works by the same author from the same year are used, add a letter after the year:</w:t>
      </w:r>
    </w:p>
    <w:p>
      <w:pPr>
        <w:spacing w:after="60"/>
        <w:ind w:left="312"/>
      </w:pPr>
      <w:r>
        <w:t>The author discussed this issue in several works (Dawkins 1996a, 1996b).</w:t>
      </w:r>
    </w:p>
    <w:p>
      <w:pPr>
        <w:pageBreakBefore/>
      </w:pPr>
      <w:r>
        <w:t>The full bibliographic details of every cited source must appear in the reference list at the end of the paper. The following sections explain the elements required for the types of sources students most often use, following the Harvard Style document.</w:t>
      </w:r>
    </w:p>
    <w:p>
      <w:pPr>
        <w:pStyle w:val="Heading1"/>
      </w:pPr>
      <w:r>
        <w:t>ELEMENTS OF REFERENCE ENTRIES (HARVARD STYLE)</w:t>
      </w:r>
    </w:p>
    <w:p>
      <w:r>
        <w:t>The reference list includes only works previously mentioned in the paper, either in in-text references or as sources for illustrations.</w:t>
      </w:r>
    </w:p>
    <w:p>
      <w:pPr>
        <w:pStyle w:val="Heading2"/>
      </w:pPr>
      <w:r>
        <w:t>1. Books</w:t>
      </w:r>
    </w:p>
    <w:p>
      <w:r>
        <w:t>Give the following information in this order:</w:t>
      </w:r>
    </w:p>
    <w:p>
      <w:pPr>
        <w:spacing w:after="0" w:line="264" w:lineRule="auto"/>
      </w:pPr>
      <w:r>
        <w:t>1. Author’s or editor’s surname and initials, or the name of the institution that published the book</w:t>
      </w:r>
    </w:p>
    <w:p>
      <w:pPr>
        <w:spacing w:after="0" w:line="264" w:lineRule="auto"/>
      </w:pPr>
      <w:r>
        <w:t>2. Year of publication</w:t>
      </w:r>
    </w:p>
    <w:p>
      <w:pPr>
        <w:spacing w:after="0" w:line="264" w:lineRule="auto"/>
      </w:pPr>
      <w:r>
        <w:t>3. Title and subtitle, if any, in italics</w:t>
      </w:r>
    </w:p>
    <w:p>
      <w:pPr>
        <w:spacing w:after="0" w:line="264" w:lineRule="auto"/>
      </w:pPr>
      <w:r>
        <w:t>4. Edition, series and volume, if applicable</w:t>
      </w:r>
    </w:p>
    <w:p>
      <w:pPr>
        <w:spacing w:after="0" w:line="264" w:lineRule="auto"/>
      </w:pPr>
      <w:r>
        <w:t>5. Publisher</w:t>
      </w:r>
    </w:p>
    <w:p>
      <w:pPr>
        <w:spacing w:after="0" w:line="264" w:lineRule="auto"/>
      </w:pPr>
      <w:r>
        <w:t>6. Place of publication</w:t>
      </w:r>
    </w:p>
    <w:p>
      <w:r>
        <w:t>One author:</w:t>
      </w:r>
    </w:p>
    <w:p>
      <w:pPr>
        <w:spacing w:after="60"/>
        <w:ind w:left="312"/>
      </w:pPr>
      <w:r>
        <w:t>Zelenika, R 2000, Metodologija i tehnologija izrade znanstvenog i stručnog djela, 4. izmijenjeno i dopunjeno izdanje, Ekonomski fakultet Sveučilišta u Rijeci, Rijeka.</w:t>
      </w:r>
    </w:p>
    <w:p>
      <w:pPr>
        <w:spacing w:after="60"/>
        <w:ind w:left="312"/>
      </w:pPr>
      <w:r>
        <w:t>Berkman, RI 1994, Find It Fast: How to Uncover Expert Information on Any Subject, Harper Perennial, New York.</w:t>
      </w:r>
    </w:p>
    <w:p>
      <w:r>
        <w:t>Two or three authors:</w:t>
      </w:r>
    </w:p>
    <w:p>
      <w:pPr>
        <w:spacing w:after="60"/>
        <w:ind w:left="312"/>
      </w:pPr>
      <w:r>
        <w:t>Moir, A &amp; Jessel, D 1991, Brain Sex: The Real Difference Between Men and Women, Mandarin, London.</w:t>
      </w:r>
    </w:p>
    <w:p>
      <w:pPr>
        <w:spacing w:after="60"/>
        <w:ind w:left="312"/>
      </w:pPr>
      <w:r>
        <w:t>Perišin, I, Šokman, A i Lovrinović, I 2001, Monetarna politika, Fakultet ekonomije i turizma “Dr. Mijo Mirković”, Pula.</w:t>
      </w:r>
    </w:p>
    <w:p>
      <w:r>
        <w:t>Books with more authors: list the surname and initials of every author:</w:t>
      </w:r>
    </w:p>
    <w:p>
      <w:pPr>
        <w:spacing w:after="60"/>
        <w:ind w:left="312"/>
      </w:pPr>
      <w:r>
        <w:t>Cheek, J, Doskatsch, I, Hill, P &amp; Walsh, L 1995, Finding Out: Information Literacy For the 21st century, MacMillan Education Australia, South Melbourne.</w:t>
      </w:r>
    </w:p>
    <w:p>
      <w:pPr>
        <w:spacing w:after="60"/>
        <w:ind w:left="312"/>
      </w:pPr>
      <w:r>
        <w:t>Jull, G, Sterling, M, Fallah, D, Treleaven, J &amp; O’Leary, S 2008, Whiplash headache and neck pain: research-based directions for physical therapies, Churchill Livingstone, Edinburgh.</w:t>
      </w:r>
    </w:p>
    <w:p>
      <w:pPr>
        <w:pageBreakBefore/>
      </w:pPr>
      <w:r>
        <w:t>Where editors are listed instead of authors, add “(ed.)” or “(eds)” after their surnames and initials:</w:t>
      </w:r>
    </w:p>
    <w:p>
      <w:pPr>
        <w:spacing w:after="60"/>
        <w:ind w:left="312"/>
      </w:pPr>
      <w:r>
        <w:t>Robinson, WF &amp; Huxtable, CRR (eds) 1988, Clinicopathologic Principles For Veterinary Medicine, Cambridge University Press, Cambridge.</w:t>
      </w:r>
    </w:p>
    <w:p>
      <w:pPr>
        <w:spacing w:after="60"/>
        <w:ind w:left="312"/>
      </w:pPr>
      <w:r>
        <w:t>Sjostrand, S (ed.) 1993, Institutional Change: Theory and Empirical Findings, M.E. Sharpe, Armonk, N.Y.</w:t>
      </w:r>
    </w:p>
    <w:p>
      <w:r>
        <w:t>A book with a specified edition:</w:t>
      </w:r>
    </w:p>
    <w:p>
      <w:pPr>
        <w:spacing w:after="60"/>
        <w:ind w:left="312"/>
      </w:pPr>
      <w:r>
        <w:t>Zelenika, R 2004, Znanost o znanosti, peto izmijenjeno i dopunjeno izdanje, Ekonomski fakultet Sveučilišta u Rijeci, Rijeka.</w:t>
      </w:r>
    </w:p>
    <w:p>
      <w:pPr>
        <w:spacing w:after="60"/>
        <w:ind w:left="312"/>
      </w:pPr>
      <w:r>
        <w:t>McTaggart, D, Findlay, C &amp; Parkin, M 1995, Economics, 2nd edn, Addison-Wesley, Sydney.</w:t>
      </w:r>
    </w:p>
    <w:p>
      <w:r>
        <w:t>An institution, corporation or other organization as author:</w:t>
      </w:r>
    </w:p>
    <w:p>
      <w:pPr>
        <w:spacing w:after="60"/>
        <w:ind w:left="312"/>
      </w:pPr>
      <w:r>
        <w:t>Australian Government Publishing Service 1994, Style Manual For Authors, Editors and Printers, 5th edn, AGPS, Canberra.</w:t>
      </w:r>
    </w:p>
    <w:p>
      <w:pPr>
        <w:spacing w:after="60"/>
        <w:ind w:left="312"/>
      </w:pPr>
      <w:r>
        <w:t>Queensland Tourist and Travel Corporation, Market Research Department 1991, An Examination of the Effect of the Domestic Aviation Dispute on Queensland Tourism, Queensland Tourist and Travel Corporation, Brisbane.</w:t>
      </w:r>
    </w:p>
    <w:p>
      <w:r>
        <w:t>A chapter or part of an edited book:</w:t>
      </w:r>
    </w:p>
    <w:p>
      <w:pPr>
        <w:spacing w:after="60"/>
        <w:ind w:left="312"/>
      </w:pPr>
      <w:r>
        <w:t>Bernstein, D 1995, ‘Transportation planning’ in Chen, WF (ed.) The Civil Engineering Handbook, CRC Press, Boca Raton.</w:t>
      </w:r>
    </w:p>
    <w:p>
      <w:r>
        <w:t>Several books by the same author in the same year: add a letter to the year and list the books alphabetically by title:</w:t>
      </w:r>
    </w:p>
    <w:p>
      <w:pPr>
        <w:spacing w:after="60"/>
        <w:ind w:left="312"/>
      </w:pPr>
      <w:r>
        <w:t>Dawkins, R 1996a, Climbing Mount Improbable, Viking, London.</w:t>
      </w:r>
    </w:p>
    <w:p>
      <w:pPr>
        <w:spacing w:after="60"/>
        <w:ind w:left="312"/>
      </w:pPr>
      <w:r>
        <w:t>Dawkins, R 1996b, River out of Eden, Phoenix, London.</w:t>
      </w:r>
    </w:p>
    <w:p>
      <w:r>
        <w:t>No named author: use the title as the first element:</w:t>
      </w:r>
    </w:p>
    <w:p>
      <w:pPr>
        <w:spacing w:after="60"/>
        <w:ind w:left="312"/>
      </w:pPr>
      <w:r>
        <w:t>Be, know, do: leadership the Army way 2004, Jossey-Bass, San Francisco.</w:t>
      </w:r>
    </w:p>
    <w:p>
      <w:pPr>
        <w:spacing w:after="60"/>
        <w:ind w:left="312"/>
      </w:pPr>
      <w:r>
        <w:t>The CCH Macquarie dictionary of business 1993, CCH Australia, North Ryde, NSW.</w:t>
      </w:r>
    </w:p>
    <w:p>
      <w:pPr>
        <w:pStyle w:val="Heading2"/>
      </w:pPr>
      <w:r>
        <w:t>2. Articles</w:t>
      </w:r>
    </w:p>
    <w:p>
      <w:r>
        <w:t>Give the following information in this order:</w:t>
      </w:r>
    </w:p>
    <w:p>
      <w:pPr>
        <w:spacing w:after="0" w:line="264" w:lineRule="auto"/>
      </w:pPr>
      <w:r>
        <w:t>1. Author’s surname and initials</w:t>
      </w:r>
    </w:p>
    <w:p>
      <w:pPr>
        <w:spacing w:after="0" w:line="264" w:lineRule="auto"/>
      </w:pPr>
      <w:r>
        <w:t>2. Year of publication</w:t>
      </w:r>
    </w:p>
    <w:p>
      <w:pPr>
        <w:spacing w:after="0" w:line="264" w:lineRule="auto"/>
      </w:pPr>
      <w:r>
        <w:t>3. Article title in single quotation marks</w:t>
      </w:r>
    </w:p>
    <w:p>
      <w:pPr>
        <w:spacing w:after="0" w:line="264" w:lineRule="auto"/>
      </w:pPr>
      <w:r>
        <w:t>4. Journal title in italics</w:t>
      </w:r>
    </w:p>
    <w:p>
      <w:pPr>
        <w:spacing w:after="0" w:line="264" w:lineRule="auto"/>
      </w:pPr>
      <w:r>
        <w:t>5. Volume</w:t>
      </w:r>
    </w:p>
    <w:p>
      <w:pPr>
        <w:spacing w:after="0" w:line="264" w:lineRule="auto"/>
      </w:pPr>
      <w:r>
        <w:t>6. Issue number</w:t>
      </w:r>
    </w:p>
    <w:p>
      <w:pPr>
        <w:spacing w:after="0" w:line="264" w:lineRule="auto"/>
      </w:pPr>
      <w:r>
        <w:t>7. Page range</w:t>
      </w:r>
    </w:p>
    <w:p>
      <w:pPr>
        <w:pageBreakBefore/>
      </w:pPr>
      <w:r>
        <w:t>Journal articles:</w:t>
      </w:r>
    </w:p>
    <w:p>
      <w:pPr>
        <w:spacing w:after="60"/>
        <w:ind w:left="312"/>
      </w:pPr>
      <w:r>
        <w:t>Huffman, LM 1996, ‘Processing whey protein for use as a food ingredient’, Food Technology, vol. 50, no. 2, pp. 49-52.</w:t>
      </w:r>
    </w:p>
    <w:p>
      <w:pPr>
        <w:spacing w:after="60"/>
        <w:ind w:left="312"/>
      </w:pPr>
      <w:r>
        <w:t>Pavlić Skender, H i Grčić Fabić, M 2013, ‘Logistički špediter u fokusu prometnog i gospodarskog sustava’, Pomorski zbornik, vol. 47-48, no. 1, pp. 95-107.</w:t>
      </w:r>
    </w:p>
    <w:p>
      <w:r>
        <w:t>Papers published in conference proceedings:</w:t>
      </w:r>
    </w:p>
    <w:p>
      <w:pPr>
        <w:spacing w:after="60"/>
        <w:ind w:left="312"/>
      </w:pPr>
      <w:r>
        <w:t>Bohrer, S, Zielke, T &amp; Freiburg, V 1995, ‘Integrated obstacle detection framework for intelligent cruise control on motorways’, IEEE Intelligent Vehicles Symposium, Detroit, MI, Piscataway, pp. 276-281.</w:t>
      </w:r>
    </w:p>
    <w:p>
      <w:pPr>
        <w:spacing w:after="60"/>
        <w:ind w:left="312"/>
      </w:pPr>
      <w:r>
        <w:t>Bourassa, S 1999, ‘Effects of child care on young children’, Proceedings of the third annual meeting of the International Society for Child Psychology, International Society for Child Psychology, Atlanta, Georgia, pp. 44-6.</w:t>
      </w:r>
    </w:p>
    <w:p>
      <w:r>
        <w:t>Newspaper article:</w:t>
      </w:r>
    </w:p>
    <w:p>
      <w:pPr>
        <w:spacing w:after="60"/>
        <w:ind w:left="312"/>
      </w:pPr>
      <w:r>
        <w:t>Simpson, L 1997, ‘Tasmania’s railway goes private’, Australian Financial Review, 13 Oct., p. 10.</w:t>
      </w:r>
    </w:p>
    <w:p>
      <w:pPr>
        <w:pStyle w:val="Heading2"/>
      </w:pPr>
      <w:r>
        <w:t>3. Articles accessed online</w:t>
      </w:r>
    </w:p>
    <w:p>
      <w:r>
        <w:t>Use the same elements as for articles above, adding the date on which the student accessed the article and its full web address:</w:t>
      </w:r>
    </w:p>
    <w:p>
      <w:pPr>
        <w:spacing w:after="0" w:line="264" w:lineRule="auto"/>
      </w:pPr>
      <w:r>
        <w:t>1. Author’s surname and initials</w:t>
      </w:r>
    </w:p>
    <w:p>
      <w:pPr>
        <w:spacing w:after="0" w:line="264" w:lineRule="auto"/>
      </w:pPr>
      <w:r>
        <w:t>2. Year of publication</w:t>
      </w:r>
    </w:p>
    <w:p>
      <w:pPr>
        <w:spacing w:after="0" w:line="264" w:lineRule="auto"/>
      </w:pPr>
      <w:r>
        <w:t>3. Article title in single quotation marks</w:t>
      </w:r>
    </w:p>
    <w:p>
      <w:pPr>
        <w:spacing w:after="0" w:line="264" w:lineRule="auto"/>
      </w:pPr>
      <w:r>
        <w:t>4. Journal title in italics</w:t>
      </w:r>
    </w:p>
    <w:p>
      <w:pPr>
        <w:spacing w:after="0" w:line="264" w:lineRule="auto"/>
      </w:pPr>
      <w:r>
        <w:t>5. Journal publisher</w:t>
      </w:r>
    </w:p>
    <w:p>
      <w:pPr>
        <w:spacing w:after="0" w:line="264" w:lineRule="auto"/>
      </w:pPr>
      <w:r>
        <w:t>6. Volume</w:t>
      </w:r>
    </w:p>
    <w:p>
      <w:pPr>
        <w:spacing w:after="0" w:line="264" w:lineRule="auto"/>
      </w:pPr>
      <w:r>
        <w:t>7. Issue number</w:t>
      </w:r>
    </w:p>
    <w:p>
      <w:pPr>
        <w:spacing w:after="0" w:line="264" w:lineRule="auto"/>
      </w:pPr>
      <w:r>
        <w:t>8. Page range</w:t>
      </w:r>
    </w:p>
    <w:p>
      <w:pPr>
        <w:spacing w:after="0" w:line="264" w:lineRule="auto"/>
      </w:pPr>
      <w:r>
        <w:t>9. Date accessed</w:t>
      </w:r>
    </w:p>
    <w:p>
      <w:pPr>
        <w:spacing w:after="0" w:line="264" w:lineRule="auto"/>
      </w:pPr>
      <w:r>
        <w:t>10. Full web address</w:t>
      </w:r>
    </w:p>
    <w:p>
      <w:pPr>
        <w:spacing w:after="60"/>
        <w:ind w:left="312"/>
      </w:pPr>
      <w:r>
        <w:t>Donahue, K &amp; Chanda, J 2005, ‘A case study in integrating the best practices of face-to-face art history and online teaching’, Interactive Multimedia Electronic Journal of Computer-Enhanced Learning, vol. 7, no. 1, pp. 65-78, viewed 30 January 2009, http://imej.wfu.edu/articles/2005/1/01/index.asp</w:t>
      </w:r>
    </w:p>
    <w:p>
      <w:pPr>
        <w:spacing w:after="60"/>
        <w:ind w:left="312"/>
      </w:pPr>
      <w:r>
        <w:t>Donahue, T 2009, ‘Learning from simpler times’, Risk Management, vol. 56, no. 1, pp. 40-44, viewed 30 October 2009, online: http://imej.wfu.edu/articles/2005/1/01/index.asp</w:t>
      </w:r>
    </w:p>
    <w:p>
      <w:pPr>
        <w:pStyle w:val="Heading2"/>
        <w:pageBreakBefore/>
      </w:pPr>
      <w:r>
        <w:t>4. Electronic sources</w:t>
      </w:r>
    </w:p>
    <w:p>
      <w:r>
        <w:t>These include full texts on CDs, electronic journals and other internet sources. The order of elements is similar to that for articles:</w:t>
      </w:r>
    </w:p>
    <w:p>
      <w:pPr>
        <w:spacing w:after="0" w:line="264" w:lineRule="auto"/>
      </w:pPr>
      <w:r>
        <w:t>1. Author’s surname and initials</w:t>
      </w:r>
    </w:p>
    <w:p>
      <w:pPr>
        <w:spacing w:after="0" w:line="264" w:lineRule="auto"/>
      </w:pPr>
      <w:r>
        <w:t>2. Year</w:t>
      </w:r>
    </w:p>
    <w:p>
      <w:pPr>
        <w:spacing w:after="0" w:line="264" w:lineRule="auto"/>
      </w:pPr>
      <w:r>
        <w:t>3. Title of the webpage, article or paper (put an article title in single quotation marks)</w:t>
      </w:r>
    </w:p>
    <w:p>
      <w:pPr>
        <w:spacing w:after="0" w:line="264" w:lineRule="auto"/>
      </w:pPr>
      <w:r>
        <w:t>4. Publisher, journal or organization</w:t>
      </w:r>
    </w:p>
    <w:p>
      <w:pPr>
        <w:spacing w:after="0" w:line="264" w:lineRule="auto"/>
      </w:pPr>
      <w:r>
        <w:t>5. Edition, if applicable</w:t>
      </w:r>
    </w:p>
    <w:p>
      <w:pPr>
        <w:spacing w:after="0" w:line="264" w:lineRule="auto"/>
      </w:pPr>
      <w:r>
        <w:t>6. Type of medium</w:t>
      </w:r>
    </w:p>
    <w:p>
      <w:pPr>
        <w:spacing w:after="0" w:line="264" w:lineRule="auto"/>
      </w:pPr>
      <w:r>
        <w:t>7. Date accessed</w:t>
      </w:r>
    </w:p>
    <w:p>
      <w:pPr>
        <w:spacing w:after="0" w:line="264" w:lineRule="auto"/>
      </w:pPr>
      <w:r>
        <w:t>8. Web address</w:t>
      </w:r>
    </w:p>
    <w:p>
      <w:r>
        <w:t>Examples:</w:t>
      </w:r>
    </w:p>
    <w:p>
      <w:pPr>
        <w:spacing w:after="60"/>
        <w:ind w:left="312"/>
      </w:pPr>
      <w:r>
        <w:t>Albanese, A 2009, Fairer compensation for air travellers, media release, 29 January, Minister for Infrastructure, Transport, Regional Development and Local Government, viewed 25 April 2009, online: http://www.minister.infrastructure.gov.au/aa/releases/2009/January/AA007_2009.htm</w:t>
      </w:r>
    </w:p>
    <w:p>
      <w:pPr>
        <w:spacing w:after="60"/>
        <w:ind w:left="312"/>
      </w:pPr>
      <w:r>
        <w:t>Queensland Health 2009, Sun safety and physical activity, viewed 31 August 2011, http://access.health.qld.gov.au/hid/SkinHealth/SunSafety/sunSafetyAndPhysicalActivity_ap.asp</w:t>
      </w:r>
    </w:p>
    <w:p>
      <w:pPr>
        <w:spacing w:after="60"/>
        <w:ind w:left="312"/>
      </w:pPr>
      <w:r>
        <w:t>Šošić, V 2007, Agencija za lijekove i njihove zadaće, viewed 14 November 2008, online: http://www.publichealth-zagreb.hr/zanimljivosti/agencije.htm</w:t>
      </w:r>
    </w:p>
    <w:p>
      <w:r>
        <w:t>If the date of publication is unavailable, use “n.d.” (“no date”) after the author’s name:</w:t>
      </w:r>
    </w:p>
    <w:p>
      <w:pPr>
        <w:spacing w:after="60"/>
        <w:ind w:left="312"/>
      </w:pPr>
      <w:r>
        <w:t>Bliss, SE n.d., The effect of emotional intelligence on a modern organizational leader’s ability to make effective decisions, viewed 10 February 2008, &lt;http://eqi.org/mgtpaper.htm&gt;.</w:t>
      </w:r>
    </w:p>
    <w:p>
      <w:r>
        <w:t>If no author is named, begin with the title:</w:t>
      </w:r>
    </w:p>
    <w:p>
      <w:pPr>
        <w:spacing w:after="60"/>
        <w:ind w:left="312"/>
      </w:pPr>
      <w:r>
        <w:t>Proizvodnja kemikalija, kemijskih proizvoda i proizvoda od gume, 2007, viewed 25 April 2009, online: http://hgk.biznet.hr/hgk/ileovi/10677.pdf</w:t>
      </w:r>
    </w:p>
    <w:p>
      <w:r>
        <w:t>For works issued in a digital or audiovisual format rather than in print, provide the same details as for books and identify the medium (CD, videorecording, tape, computer file, etc.):</w:t>
      </w:r>
    </w:p>
    <w:p>
      <w:pPr>
        <w:spacing w:after="60"/>
        <w:ind w:left="312"/>
      </w:pPr>
      <w:r>
        <w:t>Get the Facts (And Get Them Organised) (videorecording) 1990, Williamstown, Vic., Appleseed Productions.</w:t>
      </w:r>
    </w:p>
    <w:p>
      <w:pPr>
        <w:spacing w:after="60"/>
        <w:ind w:left="312"/>
      </w:pPr>
      <w:r>
        <w:t>Hacker Attack (videorecording) 1995, Sydney, NSW., SBS.</w:t>
      </w:r>
    </w:p>
    <w:p>
      <w:pPr>
        <w:pStyle w:val="Heading1"/>
        <w:pageBreakBefore/>
      </w:pPr>
      <w:r>
        <w:rPr>
          <w:u w:val="single"/>
        </w:rPr>
        <w:t>REFERENCES</w:t>
      </w:r>
    </w:p>
    <w:p>
      <w:pPr>
        <w:pStyle w:val="ListBullet"/>
      </w:pPr>
      <w:r>
        <w:t>The reference list contains details only of works cited in the text.</w:t>
      </w:r>
    </w:p>
    <w:p>
      <w:r>
        <w:t>Under this system, sources are listed alphabetically using all the elements described above.</w:t>
      </w:r>
    </w:p>
    <w:p>
      <w:pPr>
        <w:spacing w:after="60"/>
        <w:ind w:left="312"/>
      </w:pPr>
      <w:r>
        <w:t>Australian Government Publishing Service 1994, Style Manual for Authors, Editors and Printers, 5th edn, AGPS, Canberra.</w:t>
      </w:r>
    </w:p>
    <w:p>
      <w:pPr>
        <w:spacing w:after="60"/>
        <w:ind w:left="312"/>
      </w:pPr>
      <w:r>
        <w:t>Bernstein, D 1995, ‘Transportation planning’ in Chen, WF (ed.) The Civil Engineering Handbook, CRC Press, Boca Raton.</w:t>
      </w:r>
    </w:p>
    <w:p>
      <w:pPr>
        <w:spacing w:after="60"/>
        <w:ind w:left="312"/>
      </w:pPr>
      <w:r>
        <w:t>Bohrer, S, Zielke, T and Freiburg, V 1995, ‘Integrated obstacle detection framework for intelligent cruise control on motorways’, IEEE Intelligent Vehicles Symposium Detroit, MI Piscataway, pp. 276-281.</w:t>
      </w:r>
    </w:p>
    <w:p>
      <w:pPr>
        <w:spacing w:after="60"/>
        <w:ind w:left="312"/>
      </w:pPr>
      <w:r>
        <w:t>Hacker Attack (videorecording) 1995, Sydney, NSW., SBS.</w:t>
      </w:r>
    </w:p>
    <w:p>
      <w:pPr>
        <w:spacing w:after="60"/>
        <w:ind w:left="312"/>
      </w:pPr>
      <w:r>
        <w:t>Huffman, LM 1996, ‘Processing whey protein for use as a food ingredient’, Food Technology, vol. 50, no. 2, pp. 49-52.</w:t>
      </w:r>
    </w:p>
    <w:p>
      <w:pPr>
        <w:spacing w:after="60"/>
        <w:ind w:left="312"/>
      </w:pPr>
      <w:r>
        <w:t>McTaggart, D, Findlay, C &amp; Parkin, M 1995, Economics, 2nd edn, Addison-Wesley, Sydney.</w:t>
      </w:r>
    </w:p>
    <w:p>
      <w:pPr>
        <w:spacing w:after="60"/>
        <w:ind w:left="312"/>
      </w:pPr>
      <w:r>
        <w:t>Moir, A &amp; Jessel, D 1991, Brain Sex: The Real Difference Between Men and Women, Mandarin, London.</w:t>
      </w:r>
    </w:p>
    <w:p>
      <w:pPr>
        <w:spacing w:after="60"/>
        <w:ind w:left="312"/>
      </w:pPr>
      <w:r>
        <w:t>Robinson, WF &amp; Huxtable, CRR (eds) 1988, Clinicopathologic Principles for Veterinary Medicine, Cambridge University Press, Cambridge.</w:t>
      </w:r>
    </w:p>
    <w:p>
      <w:pPr>
        <w:spacing w:after="60"/>
        <w:ind w:left="312"/>
      </w:pPr>
      <w:r>
        <w:t>Simons, RC 1996, Boo: Culture, Experience and the Startle Reflex, Series in Affective Science, Oxford University Press, New York.</w:t>
      </w:r>
    </w:p>
    <w:p>
      <w:pPr>
        <w:spacing w:after="60"/>
        <w:ind w:left="312"/>
      </w:pPr>
      <w:r>
        <w:t>Zelenika, R 2000, Metodologija i tehnologija izrade znanstvenog i stručnog djela, 4. izmijenjeno i dopunjeno izdanje, Ekonomski fakultet Sveučilišta u Rijeci, Rijeka.</w:t>
      </w:r>
    </w:p>
    <w:p>
      <w:pPr>
        <w:pStyle w:val="Heading1"/>
      </w:pPr>
      <w:r>
        <w:rPr>
          <w:u w:val="single"/>
        </w:rPr>
        <w:t>LIST OF ILLUSTRATIONS</w:t>
      </w:r>
    </w:p>
    <w:p>
      <w:r>
        <w:t>Illustrations include tables, charts, diagrams, drawings, maps, photographs and sketches. An image is not considered an illustration except in artistic editions. It is incorrect to call other types of illustration images.</w:t>
      </w:r>
    </w:p>
    <w:p>
      <w:r>
        <w:br w:type="page"/>
      </w:r>
    </w:p>
    <w:p>
      <w:r>
        <w:t>Place lists of illustrations immediately after the reference list. Prepare a separate list for each type, including its number, title and page. For example:</w:t>
      </w:r>
    </w:p>
    <w:p>
      <w:pPr>
        <w:pStyle w:val="Heading2"/>
        <w:spacing w:before="560"/>
        <w:jc w:val="center"/>
      </w:pPr>
      <w:r>
        <w:t>LIST OF TABLES</w:t>
      </w:r>
    </w:p>
    <w:tbl>
      <w:tblPr>
        <w:tblW w:type="auto" w:w="0"/>
        <w:jc w:val="center"/>
        <w:tblLook w:firstColumn="1" w:firstRow="1" w:lastColumn="0" w:lastRow="0" w:noHBand="0" w:noVBand="1" w:val="04A0"/>
      </w:tblPr>
      <w:tblGrid>
        <w:gridCol w:w="2835"/>
        <w:gridCol w:w="2835"/>
        <w:gridCol w:w="2835"/>
      </w:tblGrid>
      <w:tr>
        <w:tc>
          <w:tcPr>
            <w:tcW w:type="dxa" w:w="2835"/>
            <w:tcBorders>
              <w:top w:val="single" w:sz="8" w:color="008000"/>
              <w:bottom w:val="single" w:sz="8" w:color="008000"/>
            </w:tcBorders>
          </w:tcPr>
          <w:p>
            <w:r>
              <w:t>No.</w:t>
            </w:r>
          </w:p>
        </w:tc>
        <w:tc>
          <w:tcPr>
            <w:tcW w:type="dxa" w:w="2835"/>
            <w:tcBorders>
              <w:top w:val="single" w:sz="8" w:color="008000"/>
              <w:bottom w:val="single" w:sz="8" w:color="008000"/>
            </w:tcBorders>
          </w:tcPr>
          <w:p>
            <w:r>
              <w:t>Table title</w:t>
            </w:r>
          </w:p>
        </w:tc>
        <w:tc>
          <w:tcPr>
            <w:tcW w:type="dxa" w:w="2835"/>
            <w:tcBorders>
              <w:top w:val="single" w:sz="8" w:color="008000"/>
              <w:bottom w:val="single" w:sz="8" w:color="008000"/>
            </w:tcBorders>
          </w:tcPr>
          <w:p>
            <w:r>
              <w:t>Page</w:t>
            </w:r>
          </w:p>
        </w:tc>
      </w:tr>
      <w:tr>
        <w:tc>
          <w:tcPr>
            <w:tcW w:type="dxa" w:w="2835"/>
            <w:tcBorders/>
          </w:tcPr>
          <w:p>
            <w:r>
              <w:t>1.</w:t>
            </w:r>
          </w:p>
        </w:tc>
        <w:tc>
          <w:tcPr>
            <w:tcW w:type="dxa" w:w="2835"/>
            <w:tcBorders/>
          </w:tcPr>
          <w:p/>
        </w:tc>
        <w:tc>
          <w:tcPr>
            <w:tcW w:type="dxa" w:w="2835"/>
            <w:tcBorders/>
          </w:tcPr>
          <w:p/>
        </w:tc>
      </w:tr>
      <w:tr>
        <w:tc>
          <w:tcPr>
            <w:tcW w:type="dxa" w:w="2835"/>
            <w:tcBorders/>
          </w:tcPr>
          <w:p>
            <w:r>
              <w:t>2.</w:t>
            </w:r>
          </w:p>
        </w:tc>
        <w:tc>
          <w:tcPr>
            <w:tcW w:type="dxa" w:w="2835"/>
            <w:tcBorders/>
          </w:tcPr>
          <w:p/>
        </w:tc>
        <w:tc>
          <w:tcPr>
            <w:tcW w:type="dxa" w:w="2835"/>
            <w:tcBorders/>
          </w:tcPr>
          <w:p/>
        </w:tc>
      </w:tr>
      <w:tr>
        <w:tc>
          <w:tcPr>
            <w:tcW w:type="dxa" w:w="2835"/>
            <w:tcBorders>
              <w:bottom w:val="single" w:sz="8" w:color="008000"/>
            </w:tcBorders>
          </w:tcPr>
          <w:p>
            <w:r>
              <w:t>3.</w:t>
            </w:r>
          </w:p>
        </w:tc>
        <w:tc>
          <w:tcPr>
            <w:tcW w:type="dxa" w:w="2835"/>
            <w:tcBorders>
              <w:bottom w:val="single" w:sz="8" w:color="008000"/>
            </w:tcBorders>
          </w:tcPr>
          <w:p/>
        </w:tc>
        <w:tc>
          <w:tcPr>
            <w:tcW w:type="dxa" w:w="2835"/>
            <w:tcBorders>
              <w:bottom w:val="single" w:sz="8" w:color="008000"/>
            </w:tcBorders>
          </w:tcPr>
          <w:p/>
        </w:tc>
      </w:tr>
    </w:tbl>
    <w:p>
      <w:pPr>
        <w:pStyle w:val="Heading2"/>
        <w:spacing w:before="560"/>
        <w:jc w:val="center"/>
      </w:pPr>
      <w:r>
        <w:t>LIST OF CHARTS</w:t>
      </w:r>
    </w:p>
    <w:tbl>
      <w:tblPr>
        <w:tblW w:type="auto" w:w="0"/>
        <w:jc w:val="center"/>
        <w:tblLook w:firstColumn="1" w:firstRow="1" w:lastColumn="0" w:lastRow="0" w:noHBand="0" w:noVBand="1" w:val="04A0"/>
      </w:tblPr>
      <w:tblGrid>
        <w:gridCol w:w="2835"/>
        <w:gridCol w:w="2835"/>
        <w:gridCol w:w="2835"/>
      </w:tblGrid>
      <w:tr>
        <w:tc>
          <w:tcPr>
            <w:tcW w:type="dxa" w:w="2835"/>
            <w:tcBorders>
              <w:top w:val="single" w:sz="8" w:color="008000"/>
              <w:bottom w:val="single" w:sz="8" w:color="008000"/>
            </w:tcBorders>
          </w:tcPr>
          <w:p>
            <w:r>
              <w:t>No.</w:t>
            </w:r>
          </w:p>
        </w:tc>
        <w:tc>
          <w:tcPr>
            <w:tcW w:type="dxa" w:w="2835"/>
            <w:tcBorders>
              <w:top w:val="single" w:sz="8" w:color="008000"/>
              <w:bottom w:val="single" w:sz="8" w:color="008000"/>
            </w:tcBorders>
          </w:tcPr>
          <w:p>
            <w:r>
              <w:t>Chart title</w:t>
            </w:r>
          </w:p>
        </w:tc>
        <w:tc>
          <w:tcPr>
            <w:tcW w:type="dxa" w:w="2835"/>
            <w:tcBorders>
              <w:top w:val="single" w:sz="8" w:color="008000"/>
              <w:bottom w:val="single" w:sz="8" w:color="008000"/>
            </w:tcBorders>
          </w:tcPr>
          <w:p>
            <w:r>
              <w:t>Page</w:t>
            </w:r>
          </w:p>
        </w:tc>
      </w:tr>
      <w:tr>
        <w:tc>
          <w:tcPr>
            <w:tcW w:type="dxa" w:w="2835"/>
            <w:tcBorders/>
          </w:tcPr>
          <w:p>
            <w:r>
              <w:t>1.</w:t>
            </w:r>
          </w:p>
        </w:tc>
        <w:tc>
          <w:tcPr>
            <w:tcW w:type="dxa" w:w="2835"/>
            <w:tcBorders/>
          </w:tcPr>
          <w:p/>
        </w:tc>
        <w:tc>
          <w:tcPr>
            <w:tcW w:type="dxa" w:w="2835"/>
            <w:tcBorders/>
          </w:tcPr>
          <w:p/>
        </w:tc>
      </w:tr>
      <w:tr>
        <w:tc>
          <w:tcPr>
            <w:tcW w:type="dxa" w:w="2835"/>
            <w:tcBorders/>
          </w:tcPr>
          <w:p>
            <w:r>
              <w:t>2.</w:t>
            </w:r>
          </w:p>
        </w:tc>
        <w:tc>
          <w:tcPr>
            <w:tcW w:type="dxa" w:w="2835"/>
            <w:tcBorders/>
          </w:tcPr>
          <w:p/>
        </w:tc>
        <w:tc>
          <w:tcPr>
            <w:tcW w:type="dxa" w:w="2835"/>
            <w:tcBorders/>
          </w:tcPr>
          <w:p/>
        </w:tc>
      </w:tr>
      <w:tr>
        <w:tc>
          <w:tcPr>
            <w:tcW w:type="dxa" w:w="2835"/>
            <w:tcBorders>
              <w:bottom w:val="single" w:sz="8" w:color="008000"/>
            </w:tcBorders>
          </w:tcPr>
          <w:p>
            <w:r>
              <w:t>3.</w:t>
            </w:r>
          </w:p>
        </w:tc>
        <w:tc>
          <w:tcPr>
            <w:tcW w:type="dxa" w:w="2835"/>
            <w:tcBorders>
              <w:bottom w:val="single" w:sz="8" w:color="008000"/>
            </w:tcBorders>
          </w:tcPr>
          <w:p/>
        </w:tc>
        <w:tc>
          <w:tcPr>
            <w:tcW w:type="dxa" w:w="2835"/>
            <w:tcBorders>
              <w:bottom w:val="single" w:sz="8" w:color="008000"/>
            </w:tcBorders>
          </w:tcPr>
          <w:p/>
        </w:tc>
      </w:tr>
    </w:tbl>
    <w:sectPr w:rsidR="00FC693F" w:rsidRPr="0006063C" w:rsidSect="00034616">
      <w:headerReference w:type="default" r:id="rId9"/>
      <w:footerReference w:type="default" r:id="rId10"/>
      <w:pgSz w:w="11906" w:h="16838"/>
      <w:pgMar w:top="1644" w:right="1701" w:bottom="96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18" w:color="632B2B"/>
      </w:pBdr>
    </w:pPr>
    <w:r>
      <w:rPr>
        <w:i/>
        <w:sz w:val="16"/>
      </w:rPr>
      <w:t>Dr Helga Pavlić Skender: Rules for Citation and Compiling References According to the Harvard System (Harvard Style)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12" w:lineRule="auto"/>
      <w:jc w:val="both"/>
    </w:pPr>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Times New Roman" w:hAnsi="Times New Roman"/>
      <w:b/>
      <w:bCs/>
      <w:sz w:val="24"/>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eastAsiaTheme="majorEastAsia" w:hAnsiTheme="majorHAnsi" w:cstheme="majorBidi" w:ascii="Times New Roman" w:hAnsi="Times New Roman"/>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180"/>
      <w:contextualSpacing/>
    </w:pPr>
    <w:rPr>
      <w:rFonts w:asciiTheme="majorHAnsi" w:eastAsiaTheme="majorEastAsia" w:hAnsiTheme="majorHAnsi" w:cstheme="majorBidi" w:ascii="Times New Roman" w:hAnsi="Times New Roman"/>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